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F06DD" w14:textId="77777777" w:rsidR="00B90847" w:rsidRDefault="00B90847">
      <w:pPr>
        <w:rPr>
          <w:lang w:val="en-US"/>
        </w:rPr>
      </w:pPr>
      <w:bookmarkStart w:id="0" w:name="_GoBack"/>
      <w:bookmarkEnd w:id="0"/>
    </w:p>
    <w:p w14:paraId="5EA00BF1" w14:textId="77777777" w:rsidR="00B90847" w:rsidRDefault="00B90847">
      <w:pPr>
        <w:rPr>
          <w:lang w:val="en-US"/>
        </w:rPr>
      </w:pPr>
    </w:p>
    <w:p w14:paraId="6C5C6935" w14:textId="77777777" w:rsidR="00B90847" w:rsidRDefault="00B90847">
      <w:pPr>
        <w:rPr>
          <w:lang w:val="en-US"/>
        </w:rPr>
      </w:pPr>
    </w:p>
    <w:p w14:paraId="331A7240" w14:textId="77777777" w:rsidR="00B90847" w:rsidRDefault="00B90847">
      <w:pPr>
        <w:rPr>
          <w:lang w:val="en-US"/>
        </w:rPr>
      </w:pPr>
    </w:p>
    <w:p w14:paraId="76E8A132" w14:textId="77777777" w:rsidR="00B90847" w:rsidRDefault="00B90847">
      <w:pPr>
        <w:rPr>
          <w:lang w:val="en-US"/>
        </w:rPr>
      </w:pPr>
    </w:p>
    <w:p w14:paraId="32F5A2AA" w14:textId="77777777" w:rsidR="00B90847" w:rsidRDefault="00B90847">
      <w:pPr>
        <w:rPr>
          <w:lang w:val="en-US"/>
        </w:rPr>
      </w:pPr>
    </w:p>
    <w:p w14:paraId="5E6B5FB2" w14:textId="77777777" w:rsidR="00B90847" w:rsidRDefault="00B90847">
      <w:pPr>
        <w:rPr>
          <w:lang w:val="en-US"/>
        </w:rPr>
      </w:pPr>
    </w:p>
    <w:p w14:paraId="232319BF" w14:textId="77777777" w:rsidR="00B90847" w:rsidRDefault="00B90847">
      <w:pPr>
        <w:rPr>
          <w:lang w:val="en-US"/>
        </w:rPr>
      </w:pPr>
    </w:p>
    <w:p w14:paraId="4600D12F" w14:textId="77777777" w:rsidR="00B90847" w:rsidRDefault="00B90847">
      <w:pPr>
        <w:rPr>
          <w:lang w:val="en-US"/>
        </w:rPr>
      </w:pPr>
    </w:p>
    <w:p w14:paraId="66DF1C68" w14:textId="77777777" w:rsidR="00B90847" w:rsidRDefault="00B90847">
      <w:pPr>
        <w:rPr>
          <w:lang w:val="en-US"/>
        </w:rPr>
      </w:pPr>
    </w:p>
    <w:p w14:paraId="1371D363" w14:textId="77777777" w:rsidR="00B90847" w:rsidRDefault="00B90847">
      <w:pPr>
        <w:rPr>
          <w:lang w:val="en-US"/>
        </w:rPr>
      </w:pPr>
    </w:p>
    <w:p w14:paraId="445813B2" w14:textId="77777777" w:rsidR="00B90847" w:rsidRDefault="00B90847">
      <w:pPr>
        <w:rPr>
          <w:lang w:val="en-US"/>
        </w:rPr>
      </w:pPr>
    </w:p>
    <w:p w14:paraId="35314125" w14:textId="77777777" w:rsidR="00B90847" w:rsidRDefault="00B90847">
      <w:pPr>
        <w:rPr>
          <w:lang w:val="en-US"/>
        </w:rPr>
      </w:pPr>
    </w:p>
    <w:p w14:paraId="49F4DDC6" w14:textId="77777777" w:rsidR="00B90847" w:rsidRDefault="00B90847">
      <w:pPr>
        <w:rPr>
          <w:lang w:val="en-US"/>
        </w:rPr>
      </w:pPr>
    </w:p>
    <w:p w14:paraId="03C278E2" w14:textId="69DFC914" w:rsidR="00B90847" w:rsidRDefault="00715928" w:rsidP="00B90847">
      <w:pPr>
        <w:jc w:val="center"/>
        <w:rPr>
          <w:lang w:val="en-US"/>
        </w:rPr>
      </w:pPr>
      <w:r w:rsidRPr="00B90847">
        <w:rPr>
          <w:lang w:val="en-US"/>
        </w:rPr>
        <w:t>Research Proposal</w:t>
      </w:r>
    </w:p>
    <w:p w14:paraId="575A1111" w14:textId="1DFC4B9D" w:rsidR="00B90847" w:rsidRDefault="00715928" w:rsidP="00B90847">
      <w:pPr>
        <w:jc w:val="center"/>
        <w:rPr>
          <w:lang w:val="en-US"/>
        </w:rPr>
      </w:pPr>
      <w:r>
        <w:rPr>
          <w:lang w:val="en-US"/>
        </w:rPr>
        <w:t>Name</w:t>
      </w:r>
    </w:p>
    <w:p w14:paraId="356AFA63" w14:textId="7AB2EF25" w:rsidR="00B90847" w:rsidRDefault="00715928" w:rsidP="00B90847">
      <w:pPr>
        <w:jc w:val="center"/>
        <w:rPr>
          <w:lang w:val="en-US"/>
        </w:rPr>
      </w:pPr>
      <w:r>
        <w:rPr>
          <w:lang w:val="en-US"/>
        </w:rPr>
        <w:t>Institution</w:t>
      </w:r>
    </w:p>
    <w:p w14:paraId="3D8D4F95" w14:textId="7132EBC1" w:rsidR="00B90847" w:rsidRDefault="00B90847" w:rsidP="00B90847">
      <w:pPr>
        <w:jc w:val="center"/>
        <w:rPr>
          <w:lang w:val="en-US"/>
        </w:rPr>
      </w:pPr>
    </w:p>
    <w:p w14:paraId="498B4924" w14:textId="7F81D7FF" w:rsidR="00B90847" w:rsidRDefault="00B90847" w:rsidP="00B90847">
      <w:pPr>
        <w:jc w:val="center"/>
        <w:rPr>
          <w:lang w:val="en-US"/>
        </w:rPr>
      </w:pPr>
    </w:p>
    <w:p w14:paraId="33483D62" w14:textId="7567BA3B" w:rsidR="00B90847" w:rsidRDefault="00B90847" w:rsidP="00B90847">
      <w:pPr>
        <w:jc w:val="center"/>
        <w:rPr>
          <w:lang w:val="en-US"/>
        </w:rPr>
      </w:pPr>
    </w:p>
    <w:p w14:paraId="27605D46" w14:textId="36E71960" w:rsidR="00B90847" w:rsidRDefault="00B90847" w:rsidP="00B90847">
      <w:pPr>
        <w:jc w:val="center"/>
        <w:rPr>
          <w:lang w:val="en-US"/>
        </w:rPr>
      </w:pPr>
    </w:p>
    <w:p w14:paraId="5AC554A3" w14:textId="5F4CC61B" w:rsidR="00B90847" w:rsidRDefault="00B90847" w:rsidP="00B90847">
      <w:pPr>
        <w:jc w:val="center"/>
        <w:rPr>
          <w:lang w:val="en-US"/>
        </w:rPr>
      </w:pPr>
    </w:p>
    <w:p w14:paraId="1F58F24C" w14:textId="32540415" w:rsidR="00B90847" w:rsidRDefault="00B90847" w:rsidP="00B90847">
      <w:pPr>
        <w:jc w:val="center"/>
        <w:rPr>
          <w:lang w:val="en-US"/>
        </w:rPr>
      </w:pPr>
    </w:p>
    <w:p w14:paraId="5C2D757D" w14:textId="570130C6" w:rsidR="00B90847" w:rsidRDefault="00B90847" w:rsidP="00B90847">
      <w:pPr>
        <w:jc w:val="center"/>
        <w:rPr>
          <w:lang w:val="en-US"/>
        </w:rPr>
      </w:pPr>
    </w:p>
    <w:p w14:paraId="63B8F923" w14:textId="4A3AB26B" w:rsidR="00B90847" w:rsidRDefault="00B90847" w:rsidP="00B90847">
      <w:pPr>
        <w:jc w:val="center"/>
        <w:rPr>
          <w:lang w:val="en-US"/>
        </w:rPr>
      </w:pPr>
    </w:p>
    <w:p w14:paraId="48DB92A1" w14:textId="2A950993" w:rsidR="00B90847" w:rsidRDefault="00B90847" w:rsidP="00B90847">
      <w:pPr>
        <w:jc w:val="center"/>
        <w:rPr>
          <w:lang w:val="en-US"/>
        </w:rPr>
      </w:pPr>
    </w:p>
    <w:p w14:paraId="329D1323" w14:textId="4EF3EB2C" w:rsidR="00B90847" w:rsidRDefault="00B90847" w:rsidP="00B90847">
      <w:pPr>
        <w:jc w:val="center"/>
        <w:rPr>
          <w:lang w:val="en-US"/>
        </w:rPr>
      </w:pPr>
    </w:p>
    <w:p w14:paraId="7E91DF6E" w14:textId="3D35871B" w:rsidR="00B90847" w:rsidRDefault="00B90847" w:rsidP="00B90847">
      <w:pPr>
        <w:jc w:val="center"/>
        <w:rPr>
          <w:lang w:val="en-US"/>
        </w:rPr>
      </w:pPr>
    </w:p>
    <w:p w14:paraId="498CF24C" w14:textId="77777777" w:rsidR="00B90847" w:rsidRDefault="00B90847" w:rsidP="00B90847">
      <w:pPr>
        <w:jc w:val="center"/>
        <w:rPr>
          <w:lang w:val="en-US"/>
        </w:rPr>
      </w:pPr>
    </w:p>
    <w:p w14:paraId="07469CE9" w14:textId="77777777" w:rsidR="00B90847" w:rsidRDefault="00B90847">
      <w:pPr>
        <w:rPr>
          <w:lang w:val="en-US"/>
        </w:rPr>
      </w:pPr>
    </w:p>
    <w:p w14:paraId="7C7262BB" w14:textId="37AD0740" w:rsidR="00D0443F" w:rsidRDefault="00715928" w:rsidP="00B90847">
      <w:pPr>
        <w:jc w:val="center"/>
        <w:rPr>
          <w:lang w:val="en-US"/>
        </w:rPr>
      </w:pPr>
      <w:r>
        <w:rPr>
          <w:lang w:val="en-US"/>
        </w:rPr>
        <w:lastRenderedPageBreak/>
        <w:t>Youth involvement in crime</w:t>
      </w:r>
    </w:p>
    <w:p w14:paraId="72D030A3" w14:textId="71C70E09" w:rsidR="00922246" w:rsidRDefault="00715928" w:rsidP="00B90847">
      <w:pPr>
        <w:spacing w:line="480" w:lineRule="auto"/>
        <w:ind w:firstLine="720"/>
        <w:jc w:val="both"/>
        <w:rPr>
          <w:lang w:val="en-US"/>
        </w:rPr>
      </w:pPr>
      <w:r>
        <w:rPr>
          <w:lang w:val="en-US"/>
        </w:rPr>
        <w:t xml:space="preserve">Introduction </w:t>
      </w:r>
    </w:p>
    <w:p w14:paraId="51261544" w14:textId="60659E01" w:rsidR="00095E57" w:rsidRDefault="00715928" w:rsidP="00B90847">
      <w:pPr>
        <w:spacing w:line="480" w:lineRule="auto"/>
        <w:ind w:firstLine="720"/>
        <w:jc w:val="both"/>
        <w:rPr>
          <w:lang w:val="en-US"/>
        </w:rPr>
      </w:pPr>
      <w:r>
        <w:rPr>
          <w:lang w:val="en-US"/>
        </w:rPr>
        <w:t>Law enforcement involves different aspects that focus on improving the wellbeing of individuals within society. Law enforcement officers are faced with difficult situations in their attempts to create a law-abiding society where everybody understands their rights while focusing on building a collaborative and friendly environment between individuals and law enforcement officers. However, attaining a perfect relationship between the community and officers has been difficult due to varying factors that contribute to lawlessness within the society. Controlling crime development is an essential part of the police job description, which provides a reliable system for a successful change process.</w:t>
      </w:r>
    </w:p>
    <w:p w14:paraId="356B79AF" w14:textId="5FE48DCF" w:rsidR="00095E57" w:rsidRDefault="00715928" w:rsidP="00B90847">
      <w:pPr>
        <w:spacing w:line="480" w:lineRule="auto"/>
        <w:ind w:firstLine="720"/>
        <w:jc w:val="both"/>
        <w:rPr>
          <w:lang w:val="en-US"/>
        </w:rPr>
      </w:pPr>
      <w:r>
        <w:rPr>
          <w:lang w:val="en-US"/>
        </w:rPr>
        <w:t xml:space="preserve">Research question </w:t>
      </w:r>
    </w:p>
    <w:p w14:paraId="534FE9F5" w14:textId="481892DD" w:rsidR="00095E57" w:rsidRPr="00095E57" w:rsidRDefault="00715928" w:rsidP="00B90847">
      <w:pPr>
        <w:spacing w:line="480" w:lineRule="auto"/>
        <w:ind w:firstLine="720"/>
        <w:jc w:val="both"/>
        <w:rPr>
          <w:lang w:val="en-US"/>
        </w:rPr>
      </w:pPr>
      <w:r w:rsidRPr="00095E57">
        <w:rPr>
          <w:lang w:val="en-US"/>
        </w:rPr>
        <w:t>What are the factors contributing to youth involvement in the crime</w:t>
      </w:r>
      <w:r w:rsidR="00D0443F">
        <w:rPr>
          <w:lang w:val="en-US"/>
        </w:rPr>
        <w:t>?</w:t>
      </w:r>
    </w:p>
    <w:p w14:paraId="5E212333" w14:textId="04001962" w:rsidR="00095E57" w:rsidRDefault="00715928" w:rsidP="00B90847">
      <w:pPr>
        <w:spacing w:line="480" w:lineRule="auto"/>
        <w:ind w:firstLine="720"/>
        <w:jc w:val="both"/>
        <w:rPr>
          <w:lang w:val="en-US"/>
        </w:rPr>
      </w:pPr>
      <w:r>
        <w:rPr>
          <w:lang w:val="en-US"/>
        </w:rPr>
        <w:t xml:space="preserve">Justification </w:t>
      </w:r>
    </w:p>
    <w:p w14:paraId="11F04B7F" w14:textId="40FBBD4D" w:rsidR="00095E57" w:rsidRPr="00095E57" w:rsidRDefault="00715928" w:rsidP="00B90847">
      <w:pPr>
        <w:spacing w:line="480" w:lineRule="auto"/>
        <w:ind w:firstLine="720"/>
        <w:jc w:val="both"/>
        <w:rPr>
          <w:lang w:val="en-US"/>
        </w:rPr>
      </w:pPr>
      <w:r>
        <w:rPr>
          <w:lang w:val="en-US"/>
        </w:rPr>
        <w:t>The number of young people who are engaging in crime has been increasing significantly in the United States despite major measures that have been implemented within criminal justice to curb offending and reoffending.</w:t>
      </w:r>
      <w:r w:rsidRPr="00095E57">
        <w:rPr>
          <w:rFonts w:cs="Times New Roman"/>
          <w:szCs w:val="24"/>
          <w:lang w:val="en-US"/>
        </w:rPr>
        <w:t xml:space="preserve"> </w:t>
      </w:r>
      <w:r w:rsidRPr="00095E57">
        <w:rPr>
          <w:lang w:val="en-US"/>
        </w:rPr>
        <w:t xml:space="preserve">Crime rates have been on the rise across different regions in the United States </w:t>
      </w:r>
      <w:r w:rsidRPr="00095E57">
        <w:rPr>
          <w:lang w:val="en-US"/>
        </w:rPr>
        <w:fldChar w:fldCharType="begin" w:fldLock="1"/>
      </w:r>
      <w:r w:rsidR="00A11BE9">
        <w:rPr>
          <w:lang w:val="en-US"/>
        </w:rPr>
        <w:instrText>ADDIN CSL_CITATION {"citationItems":[{"id":"ITEM-1","itemData":{"DOI":"10.1016/j.drugalcdep.2015.06.029","ISSN":"18790046","abstract":"Background: The present study examined the influence of neighborhood factors on transitions in marijuana involvement during adolescence in a sample of primarily low-income, urban Black youth. Methods: 556 Black adolescents were interviewed annually beginning in first grade as part of a longitudinal study. Latent class analysis (LCA) was used to examine stages of marijuana involvement from 6th to 9th grades. The influence of neighborhood disorder, drug activity, violent crime, safety and disadvantage on transitions in marijuana involvement was tested using latent transition analysis (LTA). Results: There was evidence for three stages of involvement: no involvement, offered, and use and problems. Involvement increased steadily during adolescence with a slightly greater risk to transition from offers to use between 6th and 7th grades. Neighborhood disorder (AOR = 1.04, CI = 1.00, 1.08), drug activity (AOR = 1.12, CI = 1.02, 1.22) and disadvantage (AOR = 1.44, CI = 1.10, 1.92) were associated with the transition from marijuana offers to use and problems. Neighborhood disorder (AOR = 1.07, CI = 1.02, 1.11), drug activity (AOR = 1.19, CI = 1.10, 1.29) and violent crime (AOR = 1.17, CI = 1.03, 1.32) were associated with transitioning rapidly from no involvement to use and problems. Conclusions: Understanding how neighborhoods could be organized and provided with supports to discourage marijuana use and promote non-drug using behaviors should be an important goal of any prevention program in low-income, urban Black neighborhoods. Enhancing citizen participation and mobilization to address the social processes of neighborhood disorder has the potential to reduce marijuana involvement in these neighborhoods.","author":[{"dropping-particle":"","family":"Reboussin","given":"Beth A.","non-dropping-particle":"","parse-names":false,"suffix":""},{"dropping-particle":"","family":"Green","given":"Kerry M.","non-dropping-particle":"","parse-names":false,"suffix":""},{"dropping-particle":"","family":"Milam","given":"Adam J.","non-dropping-particle":"","parse-names":false,"suffix":""},{"dropping-particle":"","family":"Furr-Holden","given":"Debra M.","non-dropping-particle":"","parse-names":false,"suffix":""},{"dropping-particle":"","family":"Johnson","given":"Renee M.","non-dropping-particle":"","parse-names":false,"suffix":""},{"dropping-particle":"","family":"Ialongo","given":"Nicholas S.","non-dropping-particle":"","parse-names":false,"suffix":""}],"container-title":"Drug and Alcohol Dependence","id":"ITEM-1","issued":{"date-parts":[["2015"]]},"title":"The role of neighborhood in urban black adolescent marijuana use","type":"article-journal"},"uris":["http://www.mendeley.com/documents/?uuid=2323d716-49ee-4ea3-8f7d-28880b03dc09","http://www.mendeley.com/documents/?uuid=1b382b72-c0df-4c7a-bc50-aa8cbf41b446"]}],"mendeley":{"formattedCitation":"(Reboussin &lt;i&gt;et al.&lt;/i&gt;, 2015)","plainTextFormattedCitation":"(Reboussin et al., 2015)","previouslyFormattedCitation":"(Reboussin et al., 2015)"},"properties":{"noteIndex":0},"schema":"https://github.com/citation-style-language/schema/raw/master/csl-citation.json"}</w:instrText>
      </w:r>
      <w:r w:rsidRPr="00095E57">
        <w:rPr>
          <w:lang w:val="en-US"/>
        </w:rPr>
        <w:fldChar w:fldCharType="separate"/>
      </w:r>
      <w:r w:rsidR="00A11BE9" w:rsidRPr="00A11BE9">
        <w:rPr>
          <w:noProof/>
          <w:lang w:val="en-US"/>
        </w:rPr>
        <w:t xml:space="preserve">(Reboussin </w:t>
      </w:r>
      <w:r w:rsidR="00A11BE9" w:rsidRPr="00A11BE9">
        <w:rPr>
          <w:i/>
          <w:noProof/>
          <w:lang w:val="en-US"/>
        </w:rPr>
        <w:t>et al.</w:t>
      </w:r>
      <w:r w:rsidR="00A11BE9" w:rsidRPr="00A11BE9">
        <w:rPr>
          <w:noProof/>
          <w:lang w:val="en-US"/>
        </w:rPr>
        <w:t>, 2015)</w:t>
      </w:r>
      <w:r w:rsidRPr="00095E57">
        <w:rPr>
          <w:lang w:val="en-US"/>
        </w:rPr>
        <w:fldChar w:fldCharType="end"/>
      </w:r>
      <w:r w:rsidRPr="00095E57">
        <w:rPr>
          <w:lang w:val="en-US"/>
        </w:rPr>
        <w:t xml:space="preserve">. Youths and young adolescents have perpetrated most of these crimes. Youths and young adults are expected to be highly engaged in their respective employment and education, which is essential in shaping their personal development. Adopting crime tendencies has been considered as a shortcut to wealth, which is an assumption that has not been conclusively proved based on the living conditions of criminals and individuals who engage in crimes. Human development is a process that provides a vital assessment on better processes that help define an improved understanding of </w:t>
      </w:r>
      <w:r w:rsidRPr="00095E57">
        <w:rPr>
          <w:lang w:val="en-US"/>
        </w:rPr>
        <w:lastRenderedPageBreak/>
        <w:t xml:space="preserve">the changes which help developing counter processes, which can help in identifying a more significant commitment to controlling crime within the community </w:t>
      </w:r>
      <w:r w:rsidRPr="00095E57">
        <w:rPr>
          <w:lang w:val="en-US"/>
        </w:rPr>
        <w:fldChar w:fldCharType="begin" w:fldLock="1"/>
      </w:r>
      <w:r w:rsidR="00A11BE9">
        <w:rPr>
          <w:lang w:val="en-US"/>
        </w:rPr>
        <w:instrText>ADDIN CSL_CITATION {"citationItems":[{"id":"ITEM-1","itemData":{"DOI":"10.1037/lhb0000124","ISSN":"01477307","abstract":"The current study examined the association of callous-unemotional (CU) traits with group offending (i.e., committing a crime with others; gang involvement) and with the role that the offender may play in a group offense (e.g., being the leader). This analysis was conducted in an ethnically and racially diverse sample (N = 1,216) of justice-involved adolescents (ages 13 to 17) from 3 different sites. CU traits were associated with a greater likelihood of the adolescent offending in groups and being in a gang. Importantly, both associations remained significant after controlling for the adolescent's age, level of intelligence, race and ethnicity, and level of impulse control. The association of CU traits with gang membership also remained significant after controlling for the adolescent's history of delinquent behavior. Further, CU traits were associated with several measures of taking a leadership role in group crimes. CU traits were also associated with greater levels of planning in the group offense for which the adolescent was arrested, although this was moderated by the adolescent's race and was not found in Black youth. These results highlight the importance of CU traits for understanding the group process involved in delinquent acts committed by adolescents. They also underscore the importance of enhancing the effectiveness of treatments for these traits in order to reduce juvenile delinquency.","author":[{"dropping-particle":"","family":"Thornton","given":"Laura C.","non-dropping-particle":"","parse-names":false,"suffix":""},{"dropping-particle":"","family":"Frick","given":"Paul J.","non-dropping-particle":"","parse-names":false,"suffix":""},{"dropping-particle":"","family":"Shulman","given":"Elizabeth P.","non-dropping-particle":"","parse-names":false,"suffix":""},{"dropping-particle":"V.","family":"Ray","given":"James","non-dropping-particle":"","parse-names":false,"suffix":""},{"dropping-particle":"","family":"Steinberg","given":"Laurence","non-dropping-particle":"","parse-names":false,"suffix":""},{"dropping-particle":"","family":"Cauffman","given":"Elizabeth","non-dropping-particle":"","parse-names":false,"suffix":""}],"container-title":"Law and Human Behavior","id":"ITEM-1","issued":{"date-parts":[["2015"]]},"title":"Callous-Unemotional Traits and Adolescents' Role in Group Crime","type":"article-journal"},"uris":["http://www.mendeley.com/documents/?uuid=49e449b2-0776-4566-a764-b45e26713a91","http://www.mendeley.com/documents/?uuid=31e95257-55a4-446b-80b1-fbba7e1519cb"]}],"mendeley":{"formattedCitation":"(Thornton &lt;i&gt;et al.&lt;/i&gt;, 2015)","plainTextFormattedCitation":"(Thornton et al., 2015)","previouslyFormattedCitation":"(Thornton et al., 2015)"},"properties":{"noteIndex":0},"schema":"https://github.com/citation-style-language/schema/raw/master/csl-citation.json"}</w:instrText>
      </w:r>
      <w:r w:rsidRPr="00095E57">
        <w:rPr>
          <w:lang w:val="en-US"/>
        </w:rPr>
        <w:fldChar w:fldCharType="separate"/>
      </w:r>
      <w:r w:rsidR="00A11BE9" w:rsidRPr="00A11BE9">
        <w:rPr>
          <w:noProof/>
          <w:lang w:val="en-US"/>
        </w:rPr>
        <w:t xml:space="preserve">(Thornton </w:t>
      </w:r>
      <w:r w:rsidR="00A11BE9" w:rsidRPr="00A11BE9">
        <w:rPr>
          <w:i/>
          <w:noProof/>
          <w:lang w:val="en-US"/>
        </w:rPr>
        <w:t>et al.</w:t>
      </w:r>
      <w:r w:rsidR="00A11BE9" w:rsidRPr="00A11BE9">
        <w:rPr>
          <w:noProof/>
          <w:lang w:val="en-US"/>
        </w:rPr>
        <w:t>, 2015)</w:t>
      </w:r>
      <w:r w:rsidRPr="00095E57">
        <w:rPr>
          <w:lang w:val="en-US"/>
        </w:rPr>
        <w:fldChar w:fldCharType="end"/>
      </w:r>
      <w:r w:rsidRPr="00095E57">
        <w:rPr>
          <w:lang w:val="en-US"/>
        </w:rPr>
        <w:t>.</w:t>
      </w:r>
    </w:p>
    <w:p w14:paraId="618C1B7C" w14:textId="77777777" w:rsidR="00095E57" w:rsidRPr="00095E57" w:rsidRDefault="00715928" w:rsidP="00B90847">
      <w:pPr>
        <w:spacing w:line="480" w:lineRule="auto"/>
        <w:ind w:firstLine="720"/>
        <w:jc w:val="both"/>
        <w:rPr>
          <w:lang w:val="en-US"/>
        </w:rPr>
      </w:pPr>
      <w:r w:rsidRPr="00095E57">
        <w:rPr>
          <w:lang w:val="en-US"/>
        </w:rPr>
        <w:t xml:space="preserve">The number of violent crimes committed by juvenile offers has been increasing significantly in the recent past, which questions the underlying societal values that are being instilled in children while also assessing the influence of technology and social interaction across different societies.  In 2016,  there were approximately 215,000 serious violent crimes in the United States committed by youths between 12 and 17. These statistics show the overall need to assess the existing commitment to promoting positive behavior among individuals in society </w:t>
      </w:r>
      <w:r w:rsidRPr="00095E57">
        <w:rPr>
          <w:lang w:val="en-US"/>
        </w:rPr>
        <w:fldChar w:fldCharType="begin" w:fldLock="1"/>
      </w:r>
      <w:r w:rsidRPr="00095E57">
        <w:rPr>
          <w:lang w:val="en-US"/>
        </w:rPr>
        <w:instrText>ADDIN CSL_CITATION {"citationItems":[{"id":"ITEM-1","itemData":{"ISSN":"0419-4209","abstract":"Criminologists have long studied police prejudice with the assumption that it is a fundamental problem resulting in discrimination against certain racial and ethnic groups. However, little research has examined how individuals' perceptions of police prejudice (PPP) influences compliance or delinquency behavior among the public. To fill this gap, in this paper, I reviewed relations between police and racial/ethnic groups, theorized an association between PPP and juvenile delinquency, and empirically examined the association. The long history of racial/ethnic prejudice and discrimination predisposes racial/ethnic minorities to consider themselves targets of discrimination and to feel powerless. Moreover, some minorities justify the current system and tolerate injustice. These mechanisms may then predispose racial/ethnic minorities to internalize police discrimination and prejudice as instrumental factors that potentially threaten their security. To theoretically associate PPP and delinquency given the asymmetrical relations between police and racial/ethnic groups, I reviewed criminal decision-making theories (procedural justice and deterrence theories). The theories provide consistent implications of PPP on delinquency for racial majorities, in that both theories imply a criminogenic impact of PPP on delinquency. On the other hand, for racial/ethnic minorities, police prejudice has contrasting implications. For minorities, police prejudice may be a deterrent because it increases sanction risks for minorities, but it may also be a criminogenic influence because it weakens police legitimacy. To empirically examine the association, I utilized the GREAT dataset and performed a series of group-based trajectory models. I did not find clear associations between longitudinal patterns of PPP and delinquency (e.g., an incremental PPP trend with a decremental PPP trend); nevertheless, membership models show that white juveniles who strongly believe police to be prejudiced tend to belong to criminogenic groups, while there is no association between level of PPP and level of delinquency among African-American juveniles. These results of membership models are consistent with theoretical predictions in this study. That is, both theories of procedural justice and of deterrence predict a high PPP is associated with high involvement in delinquency in racial majorities, and for the implications of PPP to contrast among African-American juveniles. Given these results, I sugg…","author":[{"dropping-particle":"","family":"Ra","given":"Kwang Hyun","non-dropping-particle":"","parse-names":false,"suffix":""}],"container-title":"Dissertation Abstracts International Section A: Humanities and Social Sciences","id":"ITEM-1","issued":{"date-parts":[["2019"]]},"title":"Association between perception of police prejudice against minorities and juvenile delinquency.","type":"article-journal"},"uris":["http://www.mendeley.com/documents/?uuid=b196d1ee-64a9-4d9d-a6be-5b02da44d76c","http://www.mendeley.com/documents/?uuid=4d9c5c40-8467-4baa-b959-f48e94b4fd2a"]}],"mendeley":{"formattedCitation":"(Ra, 2019)","plainTextFormattedCitation":"(Ra, 2019)","previouslyFormattedCitation":"(Ra, 2019)"},"properties":{"noteIndex":0},"schema":"https://github.com/citation-style-language/schema/raw/master/csl-citation.json"}</w:instrText>
      </w:r>
      <w:r w:rsidRPr="00095E57">
        <w:rPr>
          <w:lang w:val="en-US"/>
        </w:rPr>
        <w:fldChar w:fldCharType="separate"/>
      </w:r>
      <w:r w:rsidRPr="00095E57">
        <w:rPr>
          <w:noProof/>
          <w:lang w:val="en-US"/>
        </w:rPr>
        <w:t>(Ra, 2019)</w:t>
      </w:r>
      <w:r w:rsidRPr="00095E57">
        <w:rPr>
          <w:lang w:val="en-US"/>
        </w:rPr>
        <w:fldChar w:fldCharType="end"/>
      </w:r>
      <w:r w:rsidRPr="00095E57">
        <w:rPr>
          <w:lang w:val="en-US"/>
        </w:rPr>
        <w:t xml:space="preserve">.  </w:t>
      </w:r>
    </w:p>
    <w:p w14:paraId="57075078" w14:textId="62FB1144" w:rsidR="00095E57" w:rsidRPr="00095E57" w:rsidRDefault="00715928" w:rsidP="00B90847">
      <w:pPr>
        <w:spacing w:line="480" w:lineRule="auto"/>
        <w:ind w:firstLine="720"/>
        <w:jc w:val="both"/>
        <w:rPr>
          <w:lang w:val="en-US"/>
        </w:rPr>
      </w:pPr>
      <w:r w:rsidRPr="00095E57">
        <w:rPr>
          <w:lang w:val="en-US"/>
        </w:rPr>
        <w:t xml:space="preserve">Since the 1980s, young people have been significant offenders in the United States with a peak in 1993 when youths contributed to 1.1 million severe crimes in the United States </w:t>
      </w:r>
      <w:r w:rsidRPr="00095E57">
        <w:rPr>
          <w:lang w:val="en-US"/>
        </w:rPr>
        <w:fldChar w:fldCharType="begin" w:fldLock="1"/>
      </w:r>
      <w:r w:rsidR="00A11BE9">
        <w:rPr>
          <w:lang w:val="en-US"/>
        </w:rPr>
        <w:instrText>ADDIN CSL_CITATION {"citationItems":[{"id":"ITEM-1","itemData":{"DOI":"10.1109/ICCCI.2019.8822138","ISBN":"9781538682593","abstract":"The soft minds of children can easily be shaped and subjected to twist and bends towards criminal acts. In India the criminal offence by children or Juvenile delinquency by youth is spreading. The main risk factors tendering for the juvenile criminal offences are family parents, financial problems, education, peer groups etc. In this paper, we use association rule mining technique of data mining to make analyses on family background risk factor in juvenile delinquency with help of Indian juvenile crime dataset. The experiment results are investigated for assessing the relation between family background and juvenile delinquency in India.","author":[{"dropping-particle":"","family":"Changalasetty","given":"Suresh Babu","non-dropping-particle":"","parse-names":false,"suffix":""},{"dropping-particle":"","family":"Belgacem","given":"Bouallegue","non-dropping-particle":"","parse-names":false,"suffix":""},{"dropping-particle":"","family":"Badawy","given":"Ahmed Said","non-dropping-particle":"","parse-names":false,"suffix":""},{"dropping-particle":"","family":"Ghribi","given":"Wade","non-dropping-particle":"","parse-names":false,"suffix":""},{"dropping-particle":"","family":"Ahmed","given":"Abdelmoty M.","non-dropping-particle":"","parse-names":false,"suffix":""},{"dropping-particle":"","family":"Bangali","given":"Harun","non-dropping-particle":"","parse-names":false,"suffix":""},{"dropping-particle":"","family":"Thota","given":"Lalitha Saroja","non-dropping-particle":"","parse-names":false,"suffix":""},{"dropping-particle":"","family":"Prasad","given":"Maroju Shiva","non-dropping-particle":"","parse-names":false,"suffix":""},{"dropping-particle":"","family":"Pemula","given":"Rambabu","non-dropping-particle":"","parse-names":false,"suffix":""}],"container-title":"2019 International Conference on Computer Communication and Informatics, ICCCI 2019","id":"ITEM-1","issued":{"date-parts":[["2019"]]},"title":"Assessing the Relation between Family Background and Juvenile Delinquency using Data Mining","type":"paper-conference"},"uris":["http://www.mendeley.com/documents/?uuid=3acd6258-9118-49f6-8455-c4f76eb7c41c","http://www.mendeley.com/documents/?uuid=fc8fd6d2-e19d-4094-bf86-833d7d0e4e55"]}],"mendeley":{"formattedCitation":"(Changalasetty &lt;i&gt;et al.&lt;/i&gt;, 2019)","plainTextFormattedCitation":"(Changalasetty et al., 2019)","previouslyFormattedCitation":"(Changalasetty et al., 2019)"},"properties":{"noteIndex":0},"schema":"https://github.com/citation-style-language/schema/raw/master/csl-citation.json"}</w:instrText>
      </w:r>
      <w:r w:rsidRPr="00095E57">
        <w:rPr>
          <w:lang w:val="en-US"/>
        </w:rPr>
        <w:fldChar w:fldCharType="separate"/>
      </w:r>
      <w:r w:rsidR="00A11BE9" w:rsidRPr="00A11BE9">
        <w:rPr>
          <w:noProof/>
          <w:lang w:val="en-US"/>
        </w:rPr>
        <w:t xml:space="preserve">(Changalasetty </w:t>
      </w:r>
      <w:r w:rsidR="00A11BE9" w:rsidRPr="00A11BE9">
        <w:rPr>
          <w:i/>
          <w:noProof/>
          <w:lang w:val="en-US"/>
        </w:rPr>
        <w:t>et al.</w:t>
      </w:r>
      <w:r w:rsidR="00A11BE9" w:rsidRPr="00A11BE9">
        <w:rPr>
          <w:noProof/>
          <w:lang w:val="en-US"/>
        </w:rPr>
        <w:t>, 2019)</w:t>
      </w:r>
      <w:r w:rsidRPr="00095E57">
        <w:rPr>
          <w:lang w:val="en-US"/>
        </w:rPr>
        <w:fldChar w:fldCharType="end"/>
      </w:r>
      <w:r w:rsidRPr="00095E57">
        <w:rPr>
          <w:lang w:val="en-US"/>
        </w:rPr>
        <w:t xml:space="preserve">.  Young people are increasingly becoming violent and difficult to control, which creates serious concerns for the juvenile justice criminal justice system. Therefore in responding to the increasing crimes by youths, federal and state legislators have sought to develop better strategies that focus on making juvenile offenses more punitive and allow the transfer of children into the adult criminal justice system based on the nature of the crime committed.  The available information on juvenile offenders has provided the basis of management where criminal justice stakeholders have considered in making policies that are aimed at controlling the current situation </w:t>
      </w:r>
      <w:r w:rsidRPr="00095E57">
        <w:rPr>
          <w:lang w:val="en-US"/>
        </w:rPr>
        <w:fldChar w:fldCharType="begin" w:fldLock="1"/>
      </w:r>
      <w:r w:rsidR="00A11BE9">
        <w:rPr>
          <w:lang w:val="en-US"/>
        </w:rPr>
        <w:instrText>ADDIN CSL_CITATION {"citationItems":[{"id":"ITEM-1","itemData":{"DOI":"10.1037/lhb0000124","ISSN":"01477307","abstract":"The current study examined the association of callous-unemotional (CU) traits with group offending (i.e., committing a crime with others; gang involvement) and with the role that the offender may play in a group offense (e.g., being the leader). This analysis was conducted in an ethnically and racially diverse sample (N = 1,216) of justice-involved adolescents (ages 13 to 17) from 3 different sites. CU traits were associated with a greater likelihood of the adolescent offending in groups and being in a gang. Importantly, both associations remained significant after controlling for the adolescent's age, level of intelligence, race and ethnicity, and level of impulse control. The association of CU traits with gang membership also remained significant after controlling for the adolescent's history of delinquent behavior. Further, CU traits were associated with several measures of taking a leadership role in group crimes. CU traits were also associated with greater levels of planning in the group offense for which the adolescent was arrested, although this was moderated by the adolescent's race and was not found in Black youth. These results highlight the importance of CU traits for understanding the group process involved in delinquent acts committed by adolescents. They also underscore the importance of enhancing the effectiveness of treatments for these traits in order to reduce juvenile delinquency.","author":[{"dropping-particle":"","family":"Thornton","given":"Laura C.","non-dropping-particle":"","parse-names":false,"suffix":""},{"dropping-particle":"","family":"Frick","given":"Paul J.","non-dropping-particle":"","parse-names":false,"suffix":""},{"dropping-particle":"","family":"Shulman","given":"Elizabeth P.","non-dropping-particle":"","parse-names":false,"suffix":""},{"dropping-particle":"V.","family":"Ray","given":"James","non-dropping-particle":"","parse-names":false,"suffix":""},{"dropping-particle":"","family":"Steinberg","given":"Laurence","non-dropping-particle":"","parse-names":false,"suffix":""},{"dropping-particle":"","family":"Cauffman","given":"Elizabeth","non-dropping-particle":"","parse-names":false,"suffix":""}],"container-title":"Law and Human Behavior","id":"ITEM-1","issued":{"date-parts":[["2015"]]},"title":"Callous-Unemotional Traits and Adolescents' Role in Group Crime","type":"article-journal"},"uris":["http://www.mendeley.com/documents/?uuid=31e95257-55a4-446b-80b1-fbba7e1519cb"]}],"mendeley":{"formattedCitation":"(Thornton &lt;i&gt;et al.&lt;/i&gt;, 2015)","plainTextFormattedCitation":"(Thornton et al., 2015)","previouslyFormattedCitation":"(Thornton et al., 2015)"},"properties":{"noteIndex":0},"schema":"https://github.com/citation-style-language/schema/raw/master/csl-citation.json"}</w:instrText>
      </w:r>
      <w:r w:rsidRPr="00095E57">
        <w:rPr>
          <w:lang w:val="en-US"/>
        </w:rPr>
        <w:fldChar w:fldCharType="separate"/>
      </w:r>
      <w:r w:rsidR="00A11BE9" w:rsidRPr="00A11BE9">
        <w:rPr>
          <w:noProof/>
          <w:lang w:val="en-US"/>
        </w:rPr>
        <w:t xml:space="preserve">(Thornton </w:t>
      </w:r>
      <w:r w:rsidR="00A11BE9" w:rsidRPr="00A11BE9">
        <w:rPr>
          <w:i/>
          <w:noProof/>
          <w:lang w:val="en-US"/>
        </w:rPr>
        <w:t>et al.</w:t>
      </w:r>
      <w:r w:rsidR="00A11BE9" w:rsidRPr="00A11BE9">
        <w:rPr>
          <w:noProof/>
          <w:lang w:val="en-US"/>
        </w:rPr>
        <w:t>, 2015)</w:t>
      </w:r>
      <w:r w:rsidRPr="00095E57">
        <w:rPr>
          <w:lang w:val="en-US"/>
        </w:rPr>
        <w:fldChar w:fldCharType="end"/>
      </w:r>
      <w:r w:rsidRPr="00095E57">
        <w:rPr>
          <w:lang w:val="en-US"/>
        </w:rPr>
        <w:t xml:space="preserve">. </w:t>
      </w:r>
    </w:p>
    <w:p w14:paraId="5133500D" w14:textId="54CB7985" w:rsidR="00095E57" w:rsidRDefault="00715928" w:rsidP="00B90847">
      <w:pPr>
        <w:spacing w:line="480" w:lineRule="auto"/>
        <w:ind w:firstLine="720"/>
        <w:jc w:val="both"/>
        <w:rPr>
          <w:lang w:val="en-US"/>
        </w:rPr>
      </w:pPr>
      <w:r>
        <w:rPr>
          <w:lang w:val="en-US"/>
        </w:rPr>
        <w:t xml:space="preserve">Law enforcement officers have been unable to effectively develop better strategies that focus on improving the wellbeing of individuals within the society as well as eliminating lawbreakers. The difficulty in understanding the underlying factors that are contributing to youth involvement in crime makes it difficult to develop policies and strategies that help in promoting the overall level of development within society. </w:t>
      </w:r>
      <w:r w:rsidRPr="00095E57">
        <w:rPr>
          <w:lang w:val="en-US"/>
        </w:rPr>
        <w:t xml:space="preserve">The increased participation of </w:t>
      </w:r>
      <w:r w:rsidRPr="00095E57">
        <w:rPr>
          <w:lang w:val="en-US"/>
        </w:rPr>
        <w:lastRenderedPageBreak/>
        <w:t xml:space="preserve">youths in crime is a serious issue across all states in the country, which means that it is a public concern with a significant focus on controlling the behavior of youths and children through behavioral and behavioral development. The presence of gangs within the United States society has been a detrimental aspect, especially in low-income neighborhoods where individuals are easily swayed to join these groups at the detriment of education and overall societal harmony.  The development of gangs in the United States has been a significant issue within criminal justice over the years. Gangs have members from diverse settings and ages. The development of better interventions provides a unique emphasis on essential concepts that help define a strong focus on positive changes </w:t>
      </w:r>
      <w:r w:rsidRPr="00095E57">
        <w:rPr>
          <w:lang w:val="en-US"/>
        </w:rPr>
        <w:fldChar w:fldCharType="begin" w:fldLock="1"/>
      </w:r>
      <w:r w:rsidR="00A11BE9">
        <w:rPr>
          <w:lang w:val="en-US"/>
        </w:rPr>
        <w:instrText>ADDIN CSL_CITATION {"citationItems":[{"id":"ITEM-1","itemData":{"DOI":"10.7208/chicago/9780226309972.003.0008","abstract":"This essay examines the issue of youth crime. The paper considers both the social costs of youth crime and the personal risks and costs borne by the criminals themselves. It reviews various hypotheses as to the determinants of crime and presents three new sets of estimates. The first set of regressions uses the National Longitudinal Survey of Youth to explore the correlates of crime at the individual level. The second analysis focuses on census tract-level homicide data for the city of Chicago over a 30-year period. These data help to better understand the influence of social factors and local labor market conditions on youth crime. The final data set is a State-level panel covering 15 years. With these three sets of estimates as the data base, the paper seeks to determine the extent to which observed fluctuations in the correlates of crime can explain the time series pattern of juvenile crime over the last three decades. The paper contains strong evidence that juvenile crime is responsive to punishment. Findings also provide \"some of the most compelling empirical evidence\" to date of deterrence (as opposed to incapacitation). The paper highlights the importance of factors such as gender, family environment, and cognitive ability in predicting criminal involvement. Notes, tables, figures, references","author":[{"dropping-particle":"","family":"Gruber","given":"Jonathan","non-dropping-particle":"","parse-names":false,"suffix":""},{"dropping-particle":"","family":"Levitt","given":"Steven D.","non-dropping-particle":"","parse-names":false,"suffix":""},{"dropping-particle":"","family":"Lochner","given":"Lance","non-dropping-particle":"","parse-names":false,"suffix":""}],"container-title":"Risky Behavior among Youths","id":"ITEM-1","issued":{"date-parts":[["2013"]]},"title":"The Determinants of Juvenile Crime","type":"chapter"},"uris":["http://www.mendeley.com/documents/?uuid=2075cf34-7591-45dc-bbc4-9b715aa6b4bf"]}],"mendeley":{"formattedCitation":"(Gruber, Levitt and Lochner, 2013)","plainTextFormattedCitation":"(Gruber, Levitt and Lochner, 2013)","previouslyFormattedCitation":"(Gruber, Levitt, &amp; Lochner, 2013)"},"properties":{"noteIndex":0},"schema":"https://github.com/citation-style-language/schema/raw/master/csl-citation.json"}</w:instrText>
      </w:r>
      <w:r w:rsidRPr="00095E57">
        <w:rPr>
          <w:lang w:val="en-US"/>
        </w:rPr>
        <w:fldChar w:fldCharType="separate"/>
      </w:r>
      <w:r w:rsidR="00A11BE9" w:rsidRPr="00A11BE9">
        <w:rPr>
          <w:noProof/>
          <w:lang w:val="en-US"/>
        </w:rPr>
        <w:t>(Gruber, Levitt, and Lochner, 2013)</w:t>
      </w:r>
      <w:r w:rsidRPr="00095E57">
        <w:rPr>
          <w:lang w:val="en-US"/>
        </w:rPr>
        <w:fldChar w:fldCharType="end"/>
      </w:r>
      <w:r w:rsidRPr="00095E57">
        <w:rPr>
          <w:lang w:val="en-US"/>
        </w:rPr>
        <w:t>.</w:t>
      </w:r>
    </w:p>
    <w:p w14:paraId="4F85500C" w14:textId="3FA85CF3" w:rsidR="00D0443F" w:rsidRDefault="00715928" w:rsidP="00B90847">
      <w:pPr>
        <w:spacing w:line="480" w:lineRule="auto"/>
        <w:ind w:firstLine="720"/>
        <w:jc w:val="both"/>
        <w:rPr>
          <w:lang w:val="en-US"/>
        </w:rPr>
      </w:pPr>
      <w:r>
        <w:rPr>
          <w:lang w:val="en-US"/>
        </w:rPr>
        <w:t xml:space="preserve">Significance of the study </w:t>
      </w:r>
    </w:p>
    <w:p w14:paraId="3DC5285B" w14:textId="5837EE6A" w:rsidR="00D0443F" w:rsidRDefault="00715928" w:rsidP="00B90847">
      <w:pPr>
        <w:spacing w:line="480" w:lineRule="auto"/>
        <w:ind w:firstLine="720"/>
        <w:jc w:val="both"/>
        <w:rPr>
          <w:lang w:val="en-US"/>
        </w:rPr>
      </w:pPr>
      <w:r>
        <w:rPr>
          <w:lang w:val="en-US"/>
        </w:rPr>
        <w:t xml:space="preserve">Youths and young individuals win society form the foundation of a working nation. This means that it is essential to help implement a stronger system that helps improve the level of commitment to change and identification of critical strategies that can help improve youth development. </w:t>
      </w:r>
      <w:r w:rsidRPr="00D0443F">
        <w:rPr>
          <w:lang w:val="en-US"/>
        </w:rPr>
        <w:t xml:space="preserve">Management of youth and adolescent behavior has been difficult, which highlights the current high rate of crime committed by youths and adolescents. It was vital to understand the specific factors that contribute to the current situation. The results from the study will help develop a better visual understanding of particular factors that need to be engaged fully in controlling youth and adolescent involvement in a crime. Policymakers have an essential role in creating a strong emphasis on critical elements that help define a strong focus on better processes that help define better organizational performance. Therefore prevention programs must be developed with a specific focus on significant changes that help identify critical processes that determine a positive change development process in the society </w:t>
      </w:r>
      <w:r w:rsidRPr="00D0443F">
        <w:rPr>
          <w:lang w:val="en-US"/>
        </w:rPr>
        <w:fldChar w:fldCharType="begin" w:fldLock="1"/>
      </w:r>
      <w:r w:rsidRPr="00D0443F">
        <w:rPr>
          <w:lang w:val="en-US"/>
        </w:rPr>
        <w:instrText>ADDIN CSL_CITATION {"citationItems":[{"id":"ITEM-1","itemData":{"DOI":"10.1037/lhb0000050","ISSN":"01477307","abstract":"The purpose of this study was to determine whether comorbid offending and substance misuse in previously adjudicated delinquents correlated better with measures of concurrent antisocial cognition and personality and subsequent criminality and substance misuse than offending or substance misuse alone. A sample of 1,177 youths was divided into four groups based on self-reported crime and substance misuse data from Wave 4 (ages 16-21) of the Pathways to Desistance study (Mulvey, 2012): a no-crime and substance-misuse (NCS) group, a crime-only (CO) group, a substance-misuse-only (SO) group, and a crime and substance-misuse (C&amp;S) group. As predicted, youths in the CandS group earned significantly higher scores on concurrent measures of neuroticism, grandiosity/manipulation, callousness/unemotionality, impulsivity/ irresponsibility, and moral disengagement, and significantly lower scores on measures of agreeableness, conscientiousness, impulse control, suppression of aggression, and consideration of others than did youths in the other three groups. Prospective analyses revealed that CandS participants engaged in more subsequent crime and experienced more substance-related social problems than participants in the other three groups and reported significantly more substance-related dependency symptoms and episodes of alcohol/drug treatment than participants in the NCS and CO groups. Hence, previously adjudicated youths who experienced problems with crime and substances in late adolescence/early adulthood were at increased risk for concurrent antisocial cognition and personality problems and subsequent crime and substance-misuse problems compared with participants in the other three groups. The prospective effects were found to be partially mediated by antisocial cognition in the form of moral disengagement. © 2013 American Psychological Association.","author":[{"dropping-particle":"","family":"Walters","given":"Glenn D.","non-dropping-particle":"","parse-names":false,"suffix":""}],"container-title":"Law and Human Behavior","id":"ITEM-1","issued":{"date-parts":[["2014"]]},"title":"Crime and substance misuse in adjudicated delinquent youth: The worst of both worlds","type":"article-journal"},"uris":["http://www.mendeley.com/documents/?uuid=b33744d2-9962-4ab8-bc7c-4fab649b6d43","http://www.mendeley.com/documents/?uuid=dc6ef291-3026-424e-8da2-9c7abab8e26e"]}],"mendeley":{"formattedCitation":"(Walters, 2014)","plainTextFormattedCitation":"(Walters, 2014)","previouslyFormattedCitation":"(Walters, 2014)"},"properties":{"noteIndex":0},"schema":"https://github.com/citation-style-language/schema/raw/master/csl-citation.json"}</w:instrText>
      </w:r>
      <w:r w:rsidRPr="00D0443F">
        <w:rPr>
          <w:lang w:val="en-US"/>
        </w:rPr>
        <w:fldChar w:fldCharType="separate"/>
      </w:r>
      <w:r w:rsidRPr="00D0443F">
        <w:rPr>
          <w:noProof/>
          <w:lang w:val="en-US"/>
        </w:rPr>
        <w:t>(Walters, 2014)</w:t>
      </w:r>
      <w:r w:rsidRPr="00D0443F">
        <w:rPr>
          <w:lang w:val="en-US"/>
        </w:rPr>
        <w:fldChar w:fldCharType="end"/>
      </w:r>
      <w:r w:rsidRPr="00D0443F">
        <w:rPr>
          <w:lang w:val="en-US"/>
        </w:rPr>
        <w:t>.</w:t>
      </w:r>
    </w:p>
    <w:p w14:paraId="4FAA1335" w14:textId="0CB8F024" w:rsidR="00D0443F" w:rsidRPr="00D0443F" w:rsidRDefault="00715928" w:rsidP="00B90847">
      <w:pPr>
        <w:spacing w:line="480" w:lineRule="auto"/>
        <w:ind w:firstLine="720"/>
        <w:jc w:val="both"/>
        <w:rPr>
          <w:lang w:val="en-US"/>
        </w:rPr>
      </w:pPr>
      <w:r>
        <w:rPr>
          <w:lang w:val="en-US"/>
        </w:rPr>
        <w:lastRenderedPageBreak/>
        <w:t xml:space="preserve">It is worrying that many youths are opting to join gangs rather than pursuing academic excellence, which is supposed to be a priority. It is essential to understand the basis of this decision and implement better measures that can provide a successful level of change and performance within society. </w:t>
      </w:r>
      <w:r w:rsidRPr="00D0443F">
        <w:rPr>
          <w:lang w:val="en-US"/>
        </w:rPr>
        <w:t>Many youths are joining gangs without understanding the psychological challenges that are Communities and families. Therefore, they are focusing on different approaches that they can consider in discouraging gang involvement before it starts. Consequently, it is crucial to integrate better policies based on the findings from the study where it would be possible to engage individuals in low-income settings to shun crime and embrace positive development concepts that shape societal development.</w:t>
      </w:r>
    </w:p>
    <w:p w14:paraId="5632F850" w14:textId="186C4EBA" w:rsidR="00095E57" w:rsidRDefault="00715928" w:rsidP="00B90847">
      <w:pPr>
        <w:spacing w:line="480" w:lineRule="auto"/>
        <w:ind w:firstLine="720"/>
        <w:jc w:val="both"/>
        <w:rPr>
          <w:lang w:val="en-US"/>
        </w:rPr>
      </w:pPr>
      <w:r>
        <w:rPr>
          <w:lang w:val="en-US"/>
        </w:rPr>
        <w:t xml:space="preserve">Literature review </w:t>
      </w:r>
    </w:p>
    <w:p w14:paraId="0E14E8AD" w14:textId="274B67E8" w:rsidR="00095E57" w:rsidRDefault="00715928" w:rsidP="00B90847">
      <w:pPr>
        <w:spacing w:line="480" w:lineRule="auto"/>
        <w:ind w:firstLine="720"/>
        <w:jc w:val="both"/>
        <w:rPr>
          <w:lang w:val="en-US"/>
        </w:rPr>
      </w:pPr>
      <w:r>
        <w:rPr>
          <w:lang w:val="en-US"/>
        </w:rPr>
        <w:t>Juvenile offending is a vital issue that needs to be solved in controlling and improving the lives of the future generation. This can be attained through effectively developing better strategies that focus on promoting positive livelihood and quality of l</w:t>
      </w:r>
      <w:r w:rsidR="00D0443F">
        <w:rPr>
          <w:lang w:val="en-US"/>
        </w:rPr>
        <w:t>i</w:t>
      </w:r>
      <w:r>
        <w:rPr>
          <w:lang w:val="en-US"/>
        </w:rPr>
        <w:t xml:space="preserve">fe among individuals in society. Different factors such as employment status, family </w:t>
      </w:r>
      <w:r w:rsidR="00D0443F">
        <w:rPr>
          <w:lang w:val="en-US"/>
        </w:rPr>
        <w:t>background</w:t>
      </w:r>
      <w:r>
        <w:rPr>
          <w:lang w:val="en-US"/>
        </w:rPr>
        <w:t xml:space="preserve">, and individual behavioral wellbeing have been identified as significant factors that help in promoting a healthy level of change within society.  </w:t>
      </w:r>
      <w:r w:rsidR="00A11BE9">
        <w:rPr>
          <w:lang w:val="en-US"/>
        </w:rPr>
        <w:t>A</w:t>
      </w:r>
      <w:r>
        <w:rPr>
          <w:lang w:val="en-US"/>
        </w:rPr>
        <w:t xml:space="preserve">ccording to </w:t>
      </w:r>
      <w:r w:rsidR="00A11BE9" w:rsidRPr="00A11BE9">
        <w:rPr>
          <w:lang w:val="en-US"/>
        </w:rPr>
        <w:t>Estrada (2019)</w:t>
      </w:r>
      <w:r w:rsidR="00A11BE9">
        <w:rPr>
          <w:lang w:val="en-US"/>
        </w:rPr>
        <w:t>,</w:t>
      </w:r>
      <w:r>
        <w:rPr>
          <w:lang w:val="en-US"/>
        </w:rPr>
        <w:t xml:space="preserve"> consideration of family income and education perception have been significant </w:t>
      </w:r>
      <w:r w:rsidR="00D0443F">
        <w:rPr>
          <w:lang w:val="en-US"/>
        </w:rPr>
        <w:t>factors</w:t>
      </w:r>
      <w:r>
        <w:rPr>
          <w:lang w:val="en-US"/>
        </w:rPr>
        <w:t xml:space="preserve"> contributing to youth's involvement in a crime. Youths who have a lower level of education have less influence within the society and thus become disillusioned in life hence opting to other factors that help in maintaining a strong level of change, which promotes a successful level of change within the society. </w:t>
      </w:r>
    </w:p>
    <w:p w14:paraId="211E3BEC" w14:textId="49CB620F" w:rsidR="00095E57" w:rsidRPr="00095E57" w:rsidRDefault="00715928" w:rsidP="00B90847">
      <w:pPr>
        <w:spacing w:line="480" w:lineRule="auto"/>
        <w:ind w:firstLine="720"/>
        <w:jc w:val="both"/>
        <w:rPr>
          <w:lang w:val="en-US"/>
        </w:rPr>
      </w:pPr>
      <w:r>
        <w:rPr>
          <w:lang w:val="en-US"/>
        </w:rPr>
        <w:t>Many youths begin using drugs and alcohol at a very tender age, which limits their ability to focus on positive factors that can help in improving their level of development.</w:t>
      </w:r>
      <w:r w:rsidRPr="00095E57">
        <w:rPr>
          <w:rFonts w:cs="Times New Roman"/>
          <w:szCs w:val="24"/>
          <w:lang w:val="en-US"/>
        </w:rPr>
        <w:t xml:space="preserve"> </w:t>
      </w:r>
      <w:r w:rsidRPr="00095E57">
        <w:rPr>
          <w:lang w:val="en-US"/>
        </w:rPr>
        <w:t>According to Sutton (2017), drug use and involvement in violence are linked, which is essential and helps define a</w:t>
      </w:r>
      <w:r w:rsidR="00D0443F">
        <w:rPr>
          <w:lang w:val="en-US"/>
        </w:rPr>
        <w:t>n</w:t>
      </w:r>
      <w:r w:rsidRPr="00095E57">
        <w:rPr>
          <w:lang w:val="en-US"/>
        </w:rPr>
        <w:t xml:space="preserve"> understanding of specific factors that determine individual development. </w:t>
      </w:r>
      <w:r w:rsidRPr="00095E57">
        <w:rPr>
          <w:lang w:val="en-US"/>
        </w:rPr>
        <w:lastRenderedPageBreak/>
        <w:t xml:space="preserve">Youths and adolescents, especially female members, have a higher involvement in drugs, which explains the increasing crime perpetrated by the same group </w:t>
      </w:r>
      <w:r w:rsidRPr="00095E57">
        <w:rPr>
          <w:lang w:val="en-US"/>
        </w:rPr>
        <w:fldChar w:fldCharType="begin" w:fldLock="1"/>
      </w:r>
      <w:r w:rsidRPr="00095E57">
        <w:rPr>
          <w:lang w:val="en-US"/>
        </w:rPr>
        <w:instrText>ADDIN CSL_CITATION {"citationItems":[{"id":"ITEM-1","itemData":{"DOI":"10.1016/j.avb.2017.10.001","ISSN":"18736335","abstract":"Although female gang membership was overlooked for several years, recent work by feminist criminologists has provided a much more complex picture of female youth involved in gang life. This literature demonstrates that gender shapes the risk factors and consequences of gang involvement for female youth in several ways. In the current review, four main areas are discussed: 1) risk factors for female youths’ gang involvement, 2) the extent and characteristics of female gang members’ violence and crime, 3) the influence of gender on victimization experiences resulting from gang membership, and 4) female gang members’ desistance from gang life. In each section, work specifically focusing on female gang members as well as work comparing the experiences of male and female gang members are presented. Finally, directions for future research are offered.","author":[{"dropping-particle":"","family":"Sutton","given":"Tara E.","non-dropping-particle":"","parse-names":false,"suffix":""}],"container-title":"Aggression and Violent Behavior","id":"ITEM-1","issued":{"date-parts":[["2017"]]},"title":"The lives of female gang members: A review of the literature","type":"article"},"uris":["http://www.mendeley.com/documents/?uuid=7a35a8c7-342c-4479-a97b-556dab7ad510","http://www.mendeley.com/documents/?uuid=a301840b-0dc0-49f4-aaff-7da7ae3bc37c"]}],"mendeley":{"formattedCitation":"(Sutton, 2017)","plainTextFormattedCitation":"(Sutton, 2017)","previouslyFormattedCitation":"(Sutton, 2017)"},"properties":{"noteIndex":0},"schema":"https://github.com/citation-style-language/schema/raw/master/csl-citation.json"}</w:instrText>
      </w:r>
      <w:r w:rsidRPr="00095E57">
        <w:rPr>
          <w:lang w:val="en-US"/>
        </w:rPr>
        <w:fldChar w:fldCharType="separate"/>
      </w:r>
      <w:r w:rsidRPr="00095E57">
        <w:rPr>
          <w:noProof/>
          <w:lang w:val="en-US"/>
        </w:rPr>
        <w:t>(Sutton, 2017)</w:t>
      </w:r>
      <w:r w:rsidRPr="00095E57">
        <w:rPr>
          <w:lang w:val="en-US"/>
        </w:rPr>
        <w:fldChar w:fldCharType="end"/>
      </w:r>
      <w:r w:rsidRPr="00095E57">
        <w:rPr>
          <w:lang w:val="en-US"/>
        </w:rPr>
        <w:t>.</w:t>
      </w:r>
      <w:r w:rsidR="00D0443F">
        <w:rPr>
          <w:lang w:val="en-US"/>
        </w:rPr>
        <w:t xml:space="preserve"> Similarly, </w:t>
      </w:r>
      <w:r w:rsidRPr="00095E57">
        <w:rPr>
          <w:lang w:val="en-US"/>
        </w:rPr>
        <w:t xml:space="preserve">Sharkey et al. (2015) sought to develop an emphasis on drug use and violent crimes among adolescents. The results of the study showed that alcohol use was highly associated with both violent and non-violent crimes.  Criminal history and racial identity were also identified as critical factors that are associated with increased violent crimes among adolescents. Therefore there is a need to understand the crucial role in controlling essential elements that help create a reliable platform in managing these factors </w:t>
      </w:r>
      <w:r w:rsidRPr="00095E57">
        <w:rPr>
          <w:lang w:val="en-US"/>
        </w:rPr>
        <w:fldChar w:fldCharType="begin" w:fldLock="1"/>
      </w:r>
      <w:r w:rsidR="00A11BE9">
        <w:rPr>
          <w:lang w:val="en-US"/>
        </w:rPr>
        <w:instrText>ADDIN CSL_CITATION {"citationItems":[{"id":"ITEM-1","itemData":{"ISSN":"2153-8026","abstract":"Research on juvenile gangs has focused pre-dominantly on why adolescents are members of gangs rather than on how youths desist from gang involvement. Participants were recruited from a camp facility in central California. Using the Consensual Qualitative Research approach, four researchers reviewed 58 adolescent males' responses to six open-ended questions regard-ing how to help youths get out of gangs. These youths made six overarching recommendations: overall recommendations and those relating to school, family, community, law enforcement, and gang interventions. This article concludes with practical implications and future directions based on the integration of study results with the research literature.","author":[{"dropping-particle":"","family":"Sharkey","given":"JD","non-dropping-particle":"","parse-names":false,"suffix":""},{"dropping-particle":"","family":"Stifel","given":"S","non-dropping-particle":"","parse-names":false,"suffix":""},{"dropping-particle":"","family":"Mayworm","given":"A","non-dropping-particle":"","parse-names":false,"suffix":""}],"container-title":"Journal of juvenile justice","id":"ITEM-1","issued":{"date-parts":[["2015"]]},"title":"How to help me get out of a gang: Youth Recommendations to Family, School, Community, and Law Enforcement System","type":"article-journal"},"uris":["http://www.mendeley.com/documents/?uuid=d80747e8-ed12-4cd8-8a68-516a0737f612","http://www.mendeley.com/documents/?uuid=a98cd53f-584a-4901-aaf3-1386784d3445"]}],"mendeley":{"formattedCitation":"(Sharkey, Stifel and Mayworm, 2015)","plainTextFormattedCitation":"(Sharkey, Stifel and Mayworm, 2015)","previouslyFormattedCitation":"(Sharkey, Stifel, &amp; Mayworm, 2015)"},"properties":{"noteIndex":0},"schema":"https://github.com/citation-style-language/schema/raw/master/csl-citation.json"}</w:instrText>
      </w:r>
      <w:r w:rsidRPr="00095E57">
        <w:rPr>
          <w:lang w:val="en-US"/>
        </w:rPr>
        <w:fldChar w:fldCharType="separate"/>
      </w:r>
      <w:r w:rsidR="00A11BE9" w:rsidRPr="00A11BE9">
        <w:rPr>
          <w:noProof/>
          <w:lang w:val="en-US"/>
        </w:rPr>
        <w:t>(Sharkey, Stifel and Mayworm, 2015)</w:t>
      </w:r>
      <w:r w:rsidRPr="00095E57">
        <w:rPr>
          <w:lang w:val="en-US"/>
        </w:rPr>
        <w:fldChar w:fldCharType="end"/>
      </w:r>
      <w:r w:rsidRPr="00095E57">
        <w:rPr>
          <w:lang w:val="en-US"/>
        </w:rPr>
        <w:t xml:space="preserve">. </w:t>
      </w:r>
    </w:p>
    <w:p w14:paraId="1FED85E8" w14:textId="1B6F5EB9" w:rsidR="00095E57" w:rsidRDefault="00715928" w:rsidP="00B90847">
      <w:pPr>
        <w:spacing w:line="480" w:lineRule="auto"/>
        <w:ind w:firstLine="720"/>
        <w:jc w:val="both"/>
        <w:rPr>
          <w:lang w:val="en-US"/>
        </w:rPr>
      </w:pPr>
      <w:r w:rsidRPr="00095E57">
        <w:rPr>
          <w:lang w:val="en-US"/>
        </w:rPr>
        <w:t xml:space="preserve">Dong and Krohn et al. (2016) highlighted that children from families living below the poverty level were also associated with increased youth gang membership. Therefore the findings also estimated that there were approximately 1 million youth gang members in the United States, which was around 2% with an average age of 14 years. The primary issue that is defined in this case is the limited emphasis on controlling gang development. High poverty levels and lack of formal education have even identified as primary factors that are associated with gang development. However, an important consideration that is made in this case is that gang demographics are shifting in the recent past with children joining by the age of 5 years </w:t>
      </w:r>
      <w:r w:rsidRPr="00095E57">
        <w:rPr>
          <w:lang w:val="en-US"/>
        </w:rPr>
        <w:fldChar w:fldCharType="begin" w:fldLock="1"/>
      </w:r>
      <w:r w:rsidR="00A11BE9">
        <w:rPr>
          <w:lang w:val="en-US"/>
        </w:rPr>
        <w:instrText>ADDIN CSL_CITATION {"citationItems":[{"id":"ITEM-1","itemData":{"DOI":"10.1016/j.jcrimjus.2016.07.002","ISSN":"00472352","abstract":"Purpose Adolescent gang affiliation has long-term, cascading effects across the life course, ruining life chances in multiple domains and leading to sustained involvement in crime and violence. Yet, limited empirical attention has been devoted to exploring what factors may buffer the risk of adolescent gang affiliation on violent behavior in adulthood. The current study examines whether perceived social support during emerging adulthood moderates the relationship between adolescent gang affiliation trajectories and violence in adulthood. Methods Using data from the Rochester Youth Development Study, we estimated developmental trajectories of adolescent gang affiliation. These trajectory groups were then linked to later violence through Poisson regression models, establishing the relationship between adolescent gang affiliation, protective factors during emerging adulthood, and violence in established adulthood. Results Having a committed partner relatively early in life protects individuals in the early-adolescence gang affiliation trajectory from sustained violence, and perception of consistent support from a parent figure protects individuals in the late-adolescence gang affiliation trajectory from violence in adulthood. Conclusions Perception of social support from a partner or parent figure can be critical in reducing the enduring consequences of gang affiliation. It is also important to recognize developmental heterogeneity among gang youths when intervening and providing support.","author":[{"dropping-particle":"","family":"Dong","given":"Beidi","non-dropping-particle":"","parse-names":false,"suffix":""},{"dropping-particle":"","family":"Krohn","given":"Marvin D.","non-dropping-particle":"","parse-names":false,"suffix":""}],"container-title":"Journal of Criminal Justice","id":"ITEM-1","issued":{"date-parts":[["2016"]]},"title":"Escape from violence: What reduces the enduring consequences of adolescent gang affiliation?","type":"article-journal"},"uris":["http://www.mendeley.com/documents/?uuid=3169a721-badc-434b-9e8c-24421ea100c2","http://www.mendeley.com/documents/?uuid=aba85d4d-d5dc-4272-9738-552d24cebbf8"]}],"mendeley":{"formattedCitation":"(Dong and Krohn, 2016)","plainTextFormattedCitation":"(Dong and Krohn, 2016)","previouslyFormattedCitation":"(Dong &amp; Krohn, 2016)"},"properties":{"noteIndex":0},"schema":"https://github.com/citation-style-language/schema/raw/master/csl-citation.json"}</w:instrText>
      </w:r>
      <w:r w:rsidRPr="00095E57">
        <w:rPr>
          <w:lang w:val="en-US"/>
        </w:rPr>
        <w:fldChar w:fldCharType="separate"/>
      </w:r>
      <w:r w:rsidR="00A11BE9" w:rsidRPr="00A11BE9">
        <w:rPr>
          <w:noProof/>
          <w:lang w:val="en-US"/>
        </w:rPr>
        <w:t>(Dong and Krohn, 2016)</w:t>
      </w:r>
      <w:r w:rsidRPr="00095E57">
        <w:rPr>
          <w:lang w:val="en-US"/>
        </w:rPr>
        <w:fldChar w:fldCharType="end"/>
      </w:r>
      <w:r w:rsidRPr="00095E57">
        <w:rPr>
          <w:lang w:val="en-US"/>
        </w:rPr>
        <w:t>.</w:t>
      </w:r>
    </w:p>
    <w:p w14:paraId="1A91B18E" w14:textId="62555FF6" w:rsidR="00B90847" w:rsidRDefault="00B90847" w:rsidP="00B90847">
      <w:pPr>
        <w:spacing w:line="480" w:lineRule="auto"/>
        <w:ind w:firstLine="720"/>
        <w:jc w:val="both"/>
        <w:rPr>
          <w:lang w:val="en-US"/>
        </w:rPr>
      </w:pPr>
    </w:p>
    <w:p w14:paraId="004F563C" w14:textId="7EABE48E" w:rsidR="00B90847" w:rsidRDefault="00B90847" w:rsidP="00B90847">
      <w:pPr>
        <w:spacing w:line="480" w:lineRule="auto"/>
        <w:ind w:firstLine="720"/>
        <w:jc w:val="both"/>
        <w:rPr>
          <w:lang w:val="en-US"/>
        </w:rPr>
      </w:pPr>
    </w:p>
    <w:p w14:paraId="236C1499" w14:textId="045F00EF" w:rsidR="00B90847" w:rsidRDefault="00B90847" w:rsidP="00B90847">
      <w:pPr>
        <w:spacing w:line="480" w:lineRule="auto"/>
        <w:ind w:firstLine="720"/>
        <w:jc w:val="both"/>
        <w:rPr>
          <w:lang w:val="en-US"/>
        </w:rPr>
      </w:pPr>
    </w:p>
    <w:p w14:paraId="4BB39203" w14:textId="42F557FA" w:rsidR="00B90847" w:rsidRDefault="00B90847" w:rsidP="00B90847">
      <w:pPr>
        <w:spacing w:line="480" w:lineRule="auto"/>
        <w:ind w:firstLine="720"/>
        <w:jc w:val="both"/>
        <w:rPr>
          <w:lang w:val="en-US"/>
        </w:rPr>
      </w:pPr>
    </w:p>
    <w:p w14:paraId="593CF852" w14:textId="130F4E37" w:rsidR="00B90847" w:rsidRDefault="00B90847" w:rsidP="00B90847">
      <w:pPr>
        <w:spacing w:line="480" w:lineRule="auto"/>
        <w:ind w:firstLine="720"/>
        <w:jc w:val="both"/>
        <w:rPr>
          <w:lang w:val="en-US"/>
        </w:rPr>
      </w:pPr>
    </w:p>
    <w:p w14:paraId="1CC8B9C4" w14:textId="7636DF75" w:rsidR="00095E57" w:rsidRPr="00095E57" w:rsidRDefault="00095E57" w:rsidP="00095E57">
      <w:pPr>
        <w:rPr>
          <w:lang w:val="en-US"/>
        </w:rPr>
      </w:pPr>
    </w:p>
    <w:p w14:paraId="06809A1E" w14:textId="0225D02C" w:rsidR="00095E57" w:rsidRDefault="00715928" w:rsidP="00B90847">
      <w:pPr>
        <w:jc w:val="center"/>
        <w:rPr>
          <w:lang w:val="en-US"/>
        </w:rPr>
      </w:pPr>
      <w:r>
        <w:rPr>
          <w:lang w:val="en-US"/>
        </w:rPr>
        <w:lastRenderedPageBreak/>
        <w:t>References</w:t>
      </w:r>
    </w:p>
    <w:p w14:paraId="5E716529" w14:textId="77777777" w:rsidR="00B90847" w:rsidRPr="00A11BE9" w:rsidRDefault="00715928" w:rsidP="00B90847">
      <w:pPr>
        <w:spacing w:line="480" w:lineRule="auto"/>
        <w:ind w:left="720" w:hanging="720"/>
        <w:rPr>
          <w:lang w:val="en-US"/>
        </w:rPr>
      </w:pPr>
      <w:r w:rsidRPr="00A11BE9">
        <w:rPr>
          <w:lang w:val="en-US"/>
        </w:rPr>
        <w:t xml:space="preserve">Changalasetty, S. B. et al. (2019) 'Assessing the Relation between Family Background and Juvenile Delinquency using Data Mining,' in 2019 International Conference on Computer Communication and Informatics, </w:t>
      </w:r>
      <w:r w:rsidRPr="00A11BE9">
        <w:rPr>
          <w:i/>
          <w:iCs/>
          <w:lang w:val="en-US"/>
        </w:rPr>
        <w:t xml:space="preserve">ICCCI 2019. </w:t>
      </w:r>
      <w:r w:rsidRPr="00A11BE9">
        <w:rPr>
          <w:lang w:val="en-US"/>
        </w:rPr>
        <w:t>doi: 10.1109/ICCCI.2019.8822138.</w:t>
      </w:r>
    </w:p>
    <w:p w14:paraId="3F42BCB2" w14:textId="77777777" w:rsidR="00B90847" w:rsidRPr="00A11BE9" w:rsidRDefault="00715928" w:rsidP="00B90847">
      <w:pPr>
        <w:spacing w:line="480" w:lineRule="auto"/>
        <w:ind w:left="720" w:hanging="720"/>
        <w:rPr>
          <w:lang w:val="en-US"/>
        </w:rPr>
      </w:pPr>
      <w:r w:rsidRPr="00A11BE9">
        <w:rPr>
          <w:lang w:val="en-US"/>
        </w:rPr>
        <w:t xml:space="preserve">Dong, B. and Krohn, M. D. (2016) ‘Escape from violence: What reduces the enduring consequences of adolescent gang affiliation?’, </w:t>
      </w:r>
      <w:r w:rsidRPr="00A11BE9">
        <w:rPr>
          <w:i/>
          <w:iCs/>
          <w:lang w:val="en-US"/>
        </w:rPr>
        <w:t>Journal of Criminal Justice</w:t>
      </w:r>
      <w:r w:rsidRPr="00A11BE9">
        <w:rPr>
          <w:lang w:val="en-US"/>
        </w:rPr>
        <w:t>. doi: 10.1016/j.jcrimjus.2016.07.002.</w:t>
      </w:r>
    </w:p>
    <w:p w14:paraId="7E4DDA98" w14:textId="77777777" w:rsidR="00B90847" w:rsidRPr="00A11BE9" w:rsidRDefault="00715928" w:rsidP="00B90847">
      <w:pPr>
        <w:spacing w:line="480" w:lineRule="auto"/>
        <w:ind w:left="720" w:hanging="720"/>
        <w:rPr>
          <w:lang w:val="en-US"/>
        </w:rPr>
      </w:pPr>
      <w:r w:rsidRPr="00A11BE9">
        <w:rPr>
          <w:lang w:val="en-US"/>
        </w:rPr>
        <w:t xml:space="preserve">Estrada, F. (2019). Youth and Crime in a Welfare State. Trends, Inequalities, and Societal Response. </w:t>
      </w:r>
      <w:r w:rsidRPr="00A11BE9">
        <w:rPr>
          <w:i/>
          <w:iCs/>
          <w:lang w:val="en-US"/>
        </w:rPr>
        <w:t>In Policing Schools: School Violence and the Juridification of Youth</w:t>
      </w:r>
      <w:r w:rsidRPr="00A11BE9">
        <w:rPr>
          <w:lang w:val="en-US"/>
        </w:rPr>
        <w:t xml:space="preserve"> (pp. 33-51). Springer, Cham.</w:t>
      </w:r>
    </w:p>
    <w:p w14:paraId="0BC7E292" w14:textId="77777777" w:rsidR="00B90847" w:rsidRPr="00A11BE9" w:rsidRDefault="00715928" w:rsidP="00B90847">
      <w:pPr>
        <w:spacing w:line="480" w:lineRule="auto"/>
        <w:ind w:left="720" w:hanging="720"/>
        <w:rPr>
          <w:lang w:val="en-US"/>
        </w:rPr>
      </w:pPr>
      <w:r w:rsidRPr="00A11BE9">
        <w:rPr>
          <w:lang w:val="en-US"/>
        </w:rPr>
        <w:t xml:space="preserve">Gruber, J., Levitt, S. D. and Lochner, L. (2013) ‘The Determinants of Juvenile Crime’, in </w:t>
      </w:r>
      <w:r w:rsidRPr="00A11BE9">
        <w:rPr>
          <w:i/>
          <w:iCs/>
          <w:lang w:val="en-US"/>
        </w:rPr>
        <w:t>Risky Behavior among Youths.</w:t>
      </w:r>
      <w:r w:rsidRPr="00A11BE9">
        <w:rPr>
          <w:lang w:val="en-US"/>
        </w:rPr>
        <w:t xml:space="preserve"> doi: 10.7208/chicago/9780226309972.003.0008.</w:t>
      </w:r>
    </w:p>
    <w:p w14:paraId="0E4BBD81" w14:textId="77777777" w:rsidR="00B90847" w:rsidRPr="00A11BE9" w:rsidRDefault="00715928" w:rsidP="00B90847">
      <w:pPr>
        <w:spacing w:line="480" w:lineRule="auto"/>
        <w:ind w:left="720" w:hanging="720"/>
        <w:rPr>
          <w:lang w:val="en-US"/>
        </w:rPr>
      </w:pPr>
      <w:r w:rsidRPr="00A11BE9">
        <w:rPr>
          <w:lang w:val="en-US"/>
        </w:rPr>
        <w:t>Ra, K. H. (2019) ‘Association between perception of police prejudice against minorities and juvenile delinquency.’, Dissertation Abstracts International Section A: Humanities and Social Sciences.</w:t>
      </w:r>
    </w:p>
    <w:p w14:paraId="0AB1B5C3" w14:textId="77777777" w:rsidR="00B90847" w:rsidRPr="00A11BE9" w:rsidRDefault="00715928" w:rsidP="00B90847">
      <w:pPr>
        <w:spacing w:line="480" w:lineRule="auto"/>
        <w:ind w:left="720" w:hanging="720"/>
        <w:rPr>
          <w:lang w:val="en-US"/>
        </w:rPr>
      </w:pPr>
      <w:r w:rsidRPr="00A11BE9">
        <w:rPr>
          <w:lang w:val="en-US"/>
        </w:rPr>
        <w:t xml:space="preserve">Reboussin, B. A. et al. (2015) ‘The role of neighborhood in urban black adolescent marijuana use’, </w:t>
      </w:r>
      <w:r w:rsidRPr="00A11BE9">
        <w:rPr>
          <w:i/>
          <w:iCs/>
          <w:lang w:val="en-US"/>
        </w:rPr>
        <w:t>Drug and Alcohol Dependence.</w:t>
      </w:r>
      <w:r w:rsidRPr="00A11BE9">
        <w:rPr>
          <w:lang w:val="en-US"/>
        </w:rPr>
        <w:t xml:space="preserve"> doi: 10.1016/j.drugalcdep.2015.06.029.</w:t>
      </w:r>
    </w:p>
    <w:p w14:paraId="5E96C0A5" w14:textId="77777777" w:rsidR="00B90847" w:rsidRPr="00A11BE9" w:rsidRDefault="00715928" w:rsidP="00B90847">
      <w:pPr>
        <w:spacing w:line="480" w:lineRule="auto"/>
        <w:ind w:left="720" w:hanging="720"/>
        <w:rPr>
          <w:i/>
          <w:iCs/>
          <w:lang w:val="en-US"/>
        </w:rPr>
      </w:pPr>
      <w:r w:rsidRPr="00A11BE9">
        <w:rPr>
          <w:lang w:val="en-US"/>
        </w:rPr>
        <w:t xml:space="preserve">Sharkey, J., Stifel, S. and Mayworm, A. (2015) ‘How to help me get out of a gang: Youth Recommendations to Family, School, Community, and Law Enforcement System’, </w:t>
      </w:r>
      <w:r w:rsidRPr="00A11BE9">
        <w:rPr>
          <w:i/>
          <w:iCs/>
          <w:lang w:val="en-US"/>
        </w:rPr>
        <w:t>Journal of juvenile justice.</w:t>
      </w:r>
    </w:p>
    <w:p w14:paraId="58696CBB" w14:textId="77777777" w:rsidR="00B90847" w:rsidRPr="00A11BE9" w:rsidRDefault="00715928" w:rsidP="00B90847">
      <w:pPr>
        <w:spacing w:line="480" w:lineRule="auto"/>
        <w:ind w:left="720" w:hanging="720"/>
        <w:rPr>
          <w:lang w:val="en-US"/>
        </w:rPr>
      </w:pPr>
      <w:r w:rsidRPr="00A11BE9">
        <w:rPr>
          <w:lang w:val="en-US"/>
        </w:rPr>
        <w:t xml:space="preserve">Sutton, T. E. (2017) ‘The lives of female gang members: A review of the literature’, </w:t>
      </w:r>
      <w:r w:rsidRPr="00A11BE9">
        <w:rPr>
          <w:i/>
          <w:iCs/>
          <w:lang w:val="en-US"/>
        </w:rPr>
        <w:t>Aggression and Violent Behavior</w:t>
      </w:r>
      <w:r w:rsidRPr="00A11BE9">
        <w:rPr>
          <w:lang w:val="en-US"/>
        </w:rPr>
        <w:t>. doi: 10.1016/j.avb.2017.10.001.</w:t>
      </w:r>
    </w:p>
    <w:p w14:paraId="5F7D2643" w14:textId="77777777" w:rsidR="00B90847" w:rsidRPr="00A11BE9" w:rsidRDefault="00715928" w:rsidP="00B90847">
      <w:pPr>
        <w:spacing w:line="480" w:lineRule="auto"/>
        <w:ind w:left="720" w:hanging="720"/>
        <w:rPr>
          <w:lang w:val="en-US"/>
        </w:rPr>
      </w:pPr>
      <w:r w:rsidRPr="00A11BE9">
        <w:rPr>
          <w:lang w:val="en-US"/>
        </w:rPr>
        <w:lastRenderedPageBreak/>
        <w:t xml:space="preserve">Thornton, L. C. et al. (2015) ‘Callous-Unemotional Traits and Adolescents’ Role in Group Crime’, </w:t>
      </w:r>
      <w:r w:rsidRPr="00A11BE9">
        <w:rPr>
          <w:i/>
          <w:iCs/>
          <w:lang w:val="en-US"/>
        </w:rPr>
        <w:t>Law and Human Behavior</w:t>
      </w:r>
      <w:r w:rsidRPr="00A11BE9">
        <w:rPr>
          <w:lang w:val="en-US"/>
        </w:rPr>
        <w:t>. doi: 10.1037/lhb0000124.</w:t>
      </w:r>
    </w:p>
    <w:p w14:paraId="5F31BA7F" w14:textId="77777777" w:rsidR="00B90847" w:rsidRPr="00A11BE9" w:rsidRDefault="00715928" w:rsidP="00B90847">
      <w:pPr>
        <w:spacing w:line="480" w:lineRule="auto"/>
        <w:ind w:left="720" w:hanging="720"/>
        <w:rPr>
          <w:lang w:val="en-US"/>
        </w:rPr>
      </w:pPr>
      <w:r w:rsidRPr="00A11BE9">
        <w:rPr>
          <w:lang w:val="en-US"/>
        </w:rPr>
        <w:t xml:space="preserve">Walters, G. D. (2014) ‘Crime and substance misuse in adjudicated delinquent youth: The worst of both worlds’, </w:t>
      </w:r>
      <w:r w:rsidRPr="00A11BE9">
        <w:rPr>
          <w:i/>
          <w:iCs/>
          <w:lang w:val="en-US"/>
        </w:rPr>
        <w:t>Law and Human Behavior</w:t>
      </w:r>
      <w:r w:rsidRPr="00A11BE9">
        <w:rPr>
          <w:lang w:val="en-US"/>
        </w:rPr>
        <w:t>. doi: 10.1037/lhb0000050.</w:t>
      </w:r>
    </w:p>
    <w:p w14:paraId="64CA20A9" w14:textId="425FDB7A" w:rsidR="00B93E2A" w:rsidRPr="00095E57" w:rsidRDefault="00B93E2A">
      <w:pPr>
        <w:rPr>
          <w:lang w:val="en-US"/>
        </w:rPr>
      </w:pPr>
    </w:p>
    <w:sectPr w:rsidR="00B93E2A" w:rsidRPr="00095E57" w:rsidSect="00B9084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55C40" w14:textId="77777777" w:rsidR="008832D1" w:rsidRDefault="008832D1">
      <w:pPr>
        <w:spacing w:after="0" w:line="240" w:lineRule="auto"/>
      </w:pPr>
      <w:r>
        <w:separator/>
      </w:r>
    </w:p>
  </w:endnote>
  <w:endnote w:type="continuationSeparator" w:id="0">
    <w:p w14:paraId="33BBC1F6" w14:textId="77777777" w:rsidR="008832D1" w:rsidRDefault="00883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A9021" w14:textId="77777777" w:rsidR="008832D1" w:rsidRDefault="008832D1">
      <w:pPr>
        <w:spacing w:after="0" w:line="240" w:lineRule="auto"/>
      </w:pPr>
      <w:r>
        <w:separator/>
      </w:r>
    </w:p>
  </w:footnote>
  <w:footnote w:type="continuationSeparator" w:id="0">
    <w:p w14:paraId="03A42DC4" w14:textId="77777777" w:rsidR="008832D1" w:rsidRDefault="00883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20A53" w14:textId="40E169E8" w:rsidR="00B90847" w:rsidRDefault="00715928">
    <w:pPr>
      <w:pStyle w:val="Header"/>
      <w:jc w:val="right"/>
    </w:pPr>
    <w:r w:rsidRPr="00B90847">
      <w:rPr>
        <w:lang w:val="en-US"/>
      </w:rPr>
      <w:t>RESEARCH PROPOSAL</w:t>
    </w:r>
    <w:r w:rsidRPr="00B90847">
      <w:t xml:space="preserve"> </w:t>
    </w:r>
    <w:r>
      <w:rPr>
        <w:lang w:val="en-US"/>
      </w:rPr>
      <w:t xml:space="preserve">                                                                                                      </w:t>
    </w:r>
    <w:sdt>
      <w:sdtPr>
        <w:id w:val="638841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CA1256" w14:textId="77777777" w:rsidR="00B90847" w:rsidRDefault="00B90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6BCAC" w14:textId="55C7F958" w:rsidR="00B90847" w:rsidRDefault="00715928">
    <w:pPr>
      <w:pStyle w:val="Header"/>
      <w:jc w:val="right"/>
    </w:pPr>
    <w:r>
      <w:rPr>
        <w:lang w:val="en-US"/>
      </w:rPr>
      <w:t xml:space="preserve">Running head: RESEARCH PROPOSAL                                                                                </w:t>
    </w:r>
    <w:sdt>
      <w:sdtPr>
        <w:id w:val="2316630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06F79E" w14:textId="77777777" w:rsidR="00B90847" w:rsidRDefault="00B908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EwMzc2Nje2tLA0NjZQ0lEKTi0uzszPAykwrAUA/kEI5CwAAAA="/>
  </w:docVars>
  <w:rsids>
    <w:rsidRoot w:val="00095E57"/>
    <w:rsid w:val="00095E57"/>
    <w:rsid w:val="00360FC0"/>
    <w:rsid w:val="00715928"/>
    <w:rsid w:val="007A21AE"/>
    <w:rsid w:val="008832D1"/>
    <w:rsid w:val="00922246"/>
    <w:rsid w:val="00A11BE9"/>
    <w:rsid w:val="00B90847"/>
    <w:rsid w:val="00B93E2A"/>
    <w:rsid w:val="00D0443F"/>
    <w:rsid w:val="00FC043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CF1DA-AE8C-474F-8800-28DC111EF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1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BE9"/>
    <w:rPr>
      <w:rFonts w:ascii="Segoe UI" w:hAnsi="Segoe UI" w:cs="Segoe UI"/>
      <w:sz w:val="18"/>
      <w:szCs w:val="18"/>
    </w:rPr>
  </w:style>
  <w:style w:type="paragraph" w:styleId="Header">
    <w:name w:val="header"/>
    <w:basedOn w:val="Normal"/>
    <w:link w:val="HeaderChar"/>
    <w:uiPriority w:val="99"/>
    <w:unhideWhenUsed/>
    <w:rsid w:val="00B90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847"/>
  </w:style>
  <w:style w:type="paragraph" w:styleId="Footer">
    <w:name w:val="footer"/>
    <w:basedOn w:val="Normal"/>
    <w:link w:val="FooterChar"/>
    <w:uiPriority w:val="99"/>
    <w:unhideWhenUsed/>
    <w:rsid w:val="00B90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608EE-9400-4080-BC1B-CB4072F4E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5656</Words>
  <Characters>32244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2020-01-30T14:18:00Z</dcterms:created>
  <dcterms:modified xsi:type="dcterms:W3CDTF">2020-01-30T14:18:00Z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http://www.zotero.org/styles/harvard1</vt:lpwstr>
  </property>
  <property fmtid="{D5CDD505-2E9C-101B-9397-08002B2CF9AE}" pid="3" name="Mendeley Document_1">
    <vt:lpwstr>True</vt:lpwstr>
  </property>
  <property fmtid="{D5CDD505-2E9C-101B-9397-08002B2CF9AE}" pid="4" name="Mendeley Unique User Id_1">
    <vt:lpwstr>0d4366b1-3c08-3cd6-9905-50fab94386fc</vt:lpwstr>
  </property>
</Properties>
</file>